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1E9DE">
      <w:pPr>
        <w:spacing w:line="360" w:lineRule="auto"/>
        <w:ind w:firstLine="420" w:firstLineChars="200"/>
        <w:rPr>
          <w:rFonts w:hint="eastAsia" w:ascii="宋体" w:hAnsi="宋体" w:eastAsia="宋体" w:cs="宋体"/>
          <w:b w:val="0"/>
          <w:bCs w:val="0"/>
          <w:kern w:val="0"/>
          <w:sz w:val="24"/>
          <w:szCs w:val="24"/>
        </w:rPr>
      </w:pPr>
      <w:r>
        <w:rPr>
          <w:b w:val="0"/>
          <w:bCs w:val="0"/>
        </w:rPr>
        <w:drawing>
          <wp:anchor distT="0" distB="0" distL="114300" distR="114300" simplePos="0" relativeHeight="251659264" behindDoc="0" locked="0" layoutInCell="1" allowOverlap="1">
            <wp:simplePos x="0" y="0"/>
            <wp:positionH relativeFrom="column">
              <wp:posOffset>-3810</wp:posOffset>
            </wp:positionH>
            <wp:positionV relativeFrom="paragraph">
              <wp:posOffset>121920</wp:posOffset>
            </wp:positionV>
            <wp:extent cx="1508760" cy="1592580"/>
            <wp:effectExtent l="0" t="0" r="1524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08760" cy="1592580"/>
                    </a:xfrm>
                    <a:prstGeom prst="rect">
                      <a:avLst/>
                    </a:prstGeom>
                    <a:noFill/>
                    <a:ln>
                      <a:noFill/>
                    </a:ln>
                  </pic:spPr>
                </pic:pic>
              </a:graphicData>
            </a:graphic>
          </wp:anchor>
        </w:drawing>
      </w:r>
      <w:r>
        <w:rPr>
          <w:rFonts w:hint="eastAsia" w:ascii="宋体" w:hAnsi="宋体" w:eastAsia="宋体" w:cs="宋体"/>
          <w:b w:val="0"/>
          <w:bCs w:val="0"/>
          <w:kern w:val="0"/>
          <w:sz w:val="24"/>
          <w:szCs w:val="24"/>
        </w:rPr>
        <w:t>美国微生物学会是生命科学领域中全球最大且历史最悠久的会员组织</w:t>
      </w:r>
      <w:r>
        <w:rPr>
          <w:rFonts w:hint="eastAsia" w:ascii="宋体" w:hAnsi="宋体" w:eastAsia="宋体" w:cs="宋体"/>
          <w:b w:val="0"/>
          <w:bCs w:val="0"/>
          <w:kern w:val="0"/>
          <w:sz w:val="24"/>
          <w:szCs w:val="24"/>
          <w:lang w:val="en-US" w:eastAsia="zh-CN"/>
        </w:rPr>
        <w:t>之一，</w:t>
      </w:r>
      <w:r>
        <w:rPr>
          <w:rFonts w:hint="eastAsia" w:ascii="宋体" w:hAnsi="宋体" w:eastAsia="宋体" w:cs="宋体"/>
          <w:b w:val="0"/>
          <w:bCs w:val="0"/>
          <w:kern w:val="0"/>
          <w:sz w:val="24"/>
          <w:szCs w:val="24"/>
        </w:rPr>
        <w:t>会员人数从1899年的59名已发展到现今超过43000名</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rPr>
        <w:t>会员涵盖了微生物学专业的26个学科以及微生物学教育学。美国微生物学会的期刊是微生物学领域最杰出的出版物，全面促进基础和临床微生物学领域的各项研究。</w:t>
      </w:r>
    </w:p>
    <w:p w14:paraId="3BF5C0BC">
      <w:pPr>
        <w:pStyle w:val="5"/>
        <w:spacing w:before="0" w:beforeAutospacing="0" w:after="0" w:afterAutospacing="0" w:line="360" w:lineRule="auto"/>
        <w:ind w:firstLine="420" w:firstLineChars="0"/>
        <w:rPr>
          <w:b w:val="0"/>
          <w:bCs w:val="0"/>
          <w:color w:val="auto"/>
        </w:rPr>
      </w:pPr>
      <w:r>
        <w:rPr>
          <w:rFonts w:hint="eastAsia"/>
          <w:b w:val="0"/>
          <w:bCs w:val="0"/>
          <w:color w:val="auto"/>
          <w:lang w:val="en-US" w:eastAsia="zh-CN"/>
        </w:rPr>
        <w:t>2026年中山大学</w:t>
      </w:r>
      <w:r>
        <w:rPr>
          <w:b w:val="0"/>
          <w:bCs w:val="0"/>
          <w:color w:val="auto"/>
        </w:rPr>
        <w:t>师生</w:t>
      </w:r>
      <w:r>
        <w:rPr>
          <w:rFonts w:hint="eastAsia"/>
          <w:b w:val="0"/>
          <w:bCs w:val="0"/>
          <w:color w:val="auto"/>
          <w:lang w:eastAsia="zh-CN"/>
        </w:rPr>
        <w:t>在</w:t>
      </w:r>
      <w:r>
        <w:rPr>
          <w:b w:val="0"/>
          <w:bCs w:val="0"/>
          <w:color w:val="auto"/>
        </w:rPr>
        <w:t>ASM出版社6种混合订阅期刊录用的论文，可获APC（文章处理费）豁免以及Page charge（版面费）25%的折扣优惠，数量不限。</w:t>
      </w:r>
    </w:p>
    <w:p w14:paraId="04C5C727">
      <w:pPr>
        <w:pStyle w:val="5"/>
        <w:numPr>
          <w:ilvl w:val="0"/>
          <w:numId w:val="1"/>
        </w:numPr>
        <w:spacing w:before="0" w:beforeAutospacing="0" w:after="0" w:afterAutospacing="0" w:line="360" w:lineRule="auto"/>
        <w:rPr>
          <w:rFonts w:hint="eastAsia"/>
          <w:b w:val="0"/>
          <w:bCs w:val="0"/>
          <w:color w:val="auto"/>
          <w:lang w:val="en-US" w:eastAsia="zh-CN"/>
        </w:rPr>
      </w:pPr>
      <w:r>
        <w:rPr>
          <w:rStyle w:val="8"/>
          <w:b w:val="0"/>
          <w:bCs w:val="0"/>
          <w:color w:val="auto"/>
        </w:rPr>
        <w:t>APC费用豁免</w:t>
      </w:r>
      <w:r>
        <w:rPr>
          <w:b w:val="0"/>
          <w:bCs w:val="0"/>
          <w:color w:val="auto"/>
        </w:rPr>
        <w:t>：在ASM指定的6种期刊上发表开放获取文章时，无需支付文章处理费（Article Processing Charge, APC</w:t>
      </w:r>
      <w:r>
        <w:rPr>
          <w:rFonts w:hint="eastAsia"/>
          <w:b w:val="0"/>
          <w:bCs w:val="0"/>
          <w:color w:val="auto"/>
          <w:lang w:val="en-US" w:eastAsia="zh-CN"/>
        </w:rPr>
        <w:t>)；</w:t>
      </w:r>
    </w:p>
    <w:p w14:paraId="7F5FCBB1">
      <w:pPr>
        <w:pStyle w:val="5"/>
        <w:numPr>
          <w:ilvl w:val="0"/>
          <w:numId w:val="1"/>
        </w:numPr>
        <w:spacing w:before="0" w:beforeAutospacing="0" w:after="0" w:afterAutospacing="0" w:line="360" w:lineRule="auto"/>
        <w:rPr>
          <w:b w:val="0"/>
          <w:bCs w:val="0"/>
          <w:color w:val="auto"/>
        </w:rPr>
      </w:pPr>
      <w:r>
        <w:rPr>
          <w:rStyle w:val="8"/>
          <w:rFonts w:hint="eastAsia"/>
          <w:b w:val="0"/>
          <w:bCs w:val="0"/>
          <w:color w:val="auto"/>
        </w:rPr>
        <w:t>Page Charges(版面费)和 Supplemental Material  fee (补充材料费)享受25%的折扣优惠</w:t>
      </w:r>
      <w:r>
        <w:rPr>
          <w:rStyle w:val="8"/>
          <w:b w:val="0"/>
          <w:bCs w:val="0"/>
          <w:color w:val="auto"/>
        </w:rPr>
        <w:t>：</w:t>
      </w:r>
      <w:r>
        <w:rPr>
          <w:rFonts w:hint="eastAsia"/>
          <w:b w:val="0"/>
          <w:bCs w:val="0"/>
          <w:color w:val="auto"/>
        </w:rPr>
        <w:t>通讯作者</w:t>
      </w:r>
      <w:r>
        <w:rPr>
          <w:rFonts w:hint="eastAsia"/>
          <w:b w:val="0"/>
          <w:bCs w:val="0"/>
          <w:color w:val="auto"/>
          <w:lang w:val="en-US" w:eastAsia="zh-CN"/>
        </w:rPr>
        <w:t>为中山大学师生，</w:t>
      </w:r>
      <w:r>
        <w:rPr>
          <w:rFonts w:hint="eastAsia"/>
          <w:b w:val="0"/>
          <w:bCs w:val="0"/>
          <w:color w:val="auto"/>
        </w:rPr>
        <w:t>享受</w:t>
      </w:r>
      <w:r>
        <w:rPr>
          <w:b w:val="0"/>
          <w:bCs w:val="0"/>
          <w:color w:val="auto"/>
        </w:rPr>
        <w:t>25%折扣；</w:t>
      </w:r>
      <w:r>
        <w:rPr>
          <w:rFonts w:hint="eastAsia"/>
          <w:b w:val="0"/>
          <w:bCs w:val="0"/>
          <w:color w:val="auto"/>
          <w:lang w:val="en-US" w:eastAsia="zh-CN"/>
        </w:rPr>
        <w:t>如果是</w:t>
      </w:r>
      <w:r>
        <w:rPr>
          <w:b w:val="0"/>
          <w:bCs w:val="0"/>
          <w:color w:val="auto"/>
        </w:rPr>
        <w:t>ASM的会员，可获得25%的折扣。如果</w:t>
      </w:r>
      <w:r>
        <w:rPr>
          <w:rFonts w:hint="eastAsia"/>
          <w:b w:val="0"/>
          <w:bCs w:val="0"/>
          <w:color w:val="auto"/>
          <w:lang w:val="en-US" w:eastAsia="zh-CN"/>
        </w:rPr>
        <w:t>通讯作者</w:t>
      </w:r>
      <w:r>
        <w:rPr>
          <w:b w:val="0"/>
          <w:bCs w:val="0"/>
          <w:color w:val="auto"/>
        </w:rPr>
        <w:t>既是</w:t>
      </w:r>
      <w:r>
        <w:rPr>
          <w:rFonts w:hint="eastAsia"/>
          <w:b w:val="0"/>
          <w:bCs w:val="0"/>
          <w:color w:val="auto"/>
          <w:lang w:val="en-US" w:eastAsia="zh-CN"/>
        </w:rPr>
        <w:t>中山大学师生</w:t>
      </w:r>
      <w:r>
        <w:rPr>
          <w:b w:val="0"/>
          <w:bCs w:val="0"/>
          <w:color w:val="auto"/>
        </w:rPr>
        <w:t>，又是ASM的会员，则最高可累计获得约44%的折扣。</w:t>
      </w:r>
    </w:p>
    <w:p w14:paraId="2FB6EEE5">
      <w:pPr>
        <w:pStyle w:val="5"/>
        <w:spacing w:before="0" w:beforeAutospacing="0" w:after="0" w:afterAutospacing="0" w:line="360" w:lineRule="auto"/>
        <w:rPr>
          <w:rStyle w:val="8"/>
          <w:rFonts w:hint="eastAsia"/>
          <w:b w:val="0"/>
          <w:bCs w:val="0"/>
          <w:color w:val="auto"/>
          <w:lang w:val="en-US" w:eastAsia="zh-CN"/>
        </w:rPr>
      </w:pPr>
      <w:r>
        <w:rPr>
          <w:rStyle w:val="8"/>
          <w:rFonts w:hint="eastAsia"/>
          <w:b w:val="0"/>
          <w:bCs w:val="0"/>
          <w:color w:val="auto"/>
          <w:lang w:val="en-US" w:eastAsia="zh-CN"/>
        </w:rPr>
        <w:t>享受发文优惠的条件：</w:t>
      </w:r>
    </w:p>
    <w:p w14:paraId="002DDD55">
      <w:pPr>
        <w:pStyle w:val="5"/>
        <w:numPr>
          <w:ilvl w:val="0"/>
          <w:numId w:val="2"/>
        </w:numPr>
        <w:spacing w:before="0" w:beforeAutospacing="0" w:after="0" w:afterAutospacing="0" w:line="360" w:lineRule="auto"/>
        <w:rPr>
          <w:b w:val="0"/>
          <w:bCs w:val="0"/>
          <w:color w:val="auto"/>
        </w:rPr>
      </w:pPr>
      <w:r>
        <w:rPr>
          <w:rStyle w:val="8"/>
          <w:rFonts w:hint="eastAsia"/>
          <w:b w:val="0"/>
          <w:bCs w:val="0"/>
          <w:color w:val="auto"/>
          <w:lang w:val="en-US" w:eastAsia="zh-CN"/>
        </w:rPr>
        <w:t>中山大学</w:t>
      </w:r>
      <w:r>
        <w:rPr>
          <w:rStyle w:val="8"/>
          <w:b w:val="0"/>
          <w:bCs w:val="0"/>
          <w:color w:val="auto"/>
        </w:rPr>
        <w:t>师生（通讯作者）</w:t>
      </w:r>
      <w:r>
        <w:rPr>
          <w:rStyle w:val="8"/>
          <w:rFonts w:hint="eastAsia"/>
          <w:b w:val="0"/>
          <w:bCs w:val="0"/>
          <w:color w:val="auto"/>
          <w:lang w:val="en-US" w:eastAsia="zh-CN"/>
        </w:rPr>
        <w:t>必须</w:t>
      </w:r>
      <w:r>
        <w:rPr>
          <w:rStyle w:val="8"/>
          <w:b w:val="0"/>
          <w:bCs w:val="0"/>
          <w:color w:val="auto"/>
        </w:rPr>
        <w:t>在ASM</w:t>
      </w:r>
      <w:r>
        <w:rPr>
          <w:rStyle w:val="8"/>
          <w:rFonts w:hint="eastAsia"/>
          <w:b w:val="0"/>
          <w:bCs w:val="0"/>
          <w:color w:val="auto"/>
          <w:lang w:val="en-US" w:eastAsia="zh-CN"/>
        </w:rPr>
        <w:t>指定</w:t>
      </w:r>
      <w:r>
        <w:rPr>
          <w:rStyle w:val="8"/>
          <w:b w:val="0"/>
          <w:bCs w:val="0"/>
          <w:color w:val="auto"/>
        </w:rPr>
        <w:t>的6种混合订阅期刊</w:t>
      </w:r>
      <w:r>
        <w:rPr>
          <w:rStyle w:val="8"/>
          <w:rFonts w:hint="eastAsia"/>
          <w:b w:val="0"/>
          <w:bCs w:val="0"/>
          <w:color w:val="auto"/>
          <w:lang w:val="en-US" w:eastAsia="zh-CN"/>
        </w:rPr>
        <w:t>发表文章</w:t>
      </w:r>
      <w:r>
        <w:rPr>
          <w:rStyle w:val="8"/>
          <w:b w:val="0"/>
          <w:bCs w:val="0"/>
          <w:color w:val="auto"/>
        </w:rPr>
        <w:t>，具体期刊如下：</w:t>
      </w:r>
    </w:p>
    <w:p w14:paraId="1688D18D">
      <w:pPr>
        <w:pStyle w:val="5"/>
        <w:numPr>
          <w:ilvl w:val="0"/>
          <w:numId w:val="3"/>
        </w:numPr>
        <w:spacing w:before="0" w:beforeAutospacing="0" w:after="0" w:afterAutospacing="0" w:line="360" w:lineRule="auto"/>
        <w:rPr>
          <w:b w:val="0"/>
          <w:bCs w:val="0"/>
          <w:color w:val="auto"/>
        </w:rPr>
      </w:pPr>
      <w:r>
        <w:rPr>
          <w:rStyle w:val="9"/>
          <w:b w:val="0"/>
          <w:bCs w:val="0"/>
          <w:color w:val="auto"/>
        </w:rPr>
        <w:t>Antimicrobial Agents and Chemotherapy</w:t>
      </w:r>
      <w:r>
        <w:rPr>
          <w:b w:val="0"/>
          <w:bCs w:val="0"/>
          <w:color w:val="auto"/>
        </w:rPr>
        <w:t>，ISSN：0066-4804</w:t>
      </w:r>
    </w:p>
    <w:p w14:paraId="7C7A0ED7">
      <w:pPr>
        <w:pStyle w:val="5"/>
        <w:numPr>
          <w:ilvl w:val="0"/>
          <w:numId w:val="3"/>
        </w:numPr>
        <w:spacing w:before="0" w:beforeAutospacing="0" w:after="0" w:afterAutospacing="0" w:line="360" w:lineRule="auto"/>
        <w:rPr>
          <w:b w:val="0"/>
          <w:bCs w:val="0"/>
          <w:color w:val="auto"/>
        </w:rPr>
      </w:pPr>
      <w:r>
        <w:rPr>
          <w:rStyle w:val="9"/>
          <w:b w:val="0"/>
          <w:bCs w:val="0"/>
          <w:color w:val="auto"/>
        </w:rPr>
        <w:t>Applied and Environmental Microbiology</w:t>
      </w:r>
      <w:r>
        <w:rPr>
          <w:b w:val="0"/>
          <w:bCs w:val="0"/>
          <w:color w:val="auto"/>
        </w:rPr>
        <w:t>，ISSN：0099-2240</w:t>
      </w:r>
    </w:p>
    <w:p w14:paraId="02D1B5EB">
      <w:pPr>
        <w:pStyle w:val="5"/>
        <w:numPr>
          <w:ilvl w:val="0"/>
          <w:numId w:val="3"/>
        </w:numPr>
        <w:spacing w:before="0" w:beforeAutospacing="0" w:after="0" w:afterAutospacing="0" w:line="360" w:lineRule="auto"/>
        <w:rPr>
          <w:b w:val="0"/>
          <w:bCs w:val="0"/>
          <w:color w:val="auto"/>
        </w:rPr>
      </w:pPr>
      <w:r>
        <w:rPr>
          <w:rStyle w:val="9"/>
          <w:b w:val="0"/>
          <w:bCs w:val="0"/>
          <w:color w:val="auto"/>
        </w:rPr>
        <w:t>Infection and Immunity</w:t>
      </w:r>
      <w:r>
        <w:rPr>
          <w:b w:val="0"/>
          <w:bCs w:val="0"/>
          <w:color w:val="auto"/>
        </w:rPr>
        <w:t>，ISSN：0019-9567</w:t>
      </w:r>
    </w:p>
    <w:p w14:paraId="0BDCDD8E">
      <w:pPr>
        <w:pStyle w:val="5"/>
        <w:numPr>
          <w:ilvl w:val="0"/>
          <w:numId w:val="3"/>
        </w:numPr>
        <w:spacing w:before="0" w:beforeAutospacing="0" w:after="0" w:afterAutospacing="0" w:line="360" w:lineRule="auto"/>
        <w:rPr>
          <w:b w:val="0"/>
          <w:bCs w:val="0"/>
          <w:color w:val="auto"/>
        </w:rPr>
      </w:pPr>
      <w:r>
        <w:rPr>
          <w:rStyle w:val="9"/>
          <w:b w:val="0"/>
          <w:bCs w:val="0"/>
          <w:color w:val="auto"/>
        </w:rPr>
        <w:t>Journal of Bacteriology</w:t>
      </w:r>
      <w:r>
        <w:rPr>
          <w:b w:val="0"/>
          <w:bCs w:val="0"/>
          <w:color w:val="auto"/>
        </w:rPr>
        <w:t>，ISSN：0021-9193</w:t>
      </w:r>
    </w:p>
    <w:p w14:paraId="0FD87528">
      <w:pPr>
        <w:pStyle w:val="5"/>
        <w:numPr>
          <w:ilvl w:val="0"/>
          <w:numId w:val="3"/>
        </w:numPr>
        <w:spacing w:before="0" w:beforeAutospacing="0" w:after="0" w:afterAutospacing="0" w:line="360" w:lineRule="auto"/>
        <w:rPr>
          <w:b w:val="0"/>
          <w:bCs w:val="0"/>
          <w:color w:val="auto"/>
        </w:rPr>
      </w:pPr>
      <w:r>
        <w:rPr>
          <w:rStyle w:val="9"/>
          <w:b w:val="0"/>
          <w:bCs w:val="0"/>
          <w:color w:val="auto"/>
        </w:rPr>
        <w:t>Journal of Clinical Microbiology</w:t>
      </w:r>
      <w:r>
        <w:rPr>
          <w:b w:val="0"/>
          <w:bCs w:val="0"/>
          <w:color w:val="auto"/>
        </w:rPr>
        <w:t>，ISSN：0095-1137</w:t>
      </w:r>
    </w:p>
    <w:p w14:paraId="699C4A11">
      <w:pPr>
        <w:pStyle w:val="5"/>
        <w:numPr>
          <w:ilvl w:val="0"/>
          <w:numId w:val="3"/>
        </w:numPr>
        <w:spacing w:before="0" w:beforeAutospacing="0" w:after="0" w:afterAutospacing="0" w:line="360" w:lineRule="auto"/>
        <w:rPr>
          <w:rStyle w:val="8"/>
          <w:b w:val="0"/>
          <w:bCs w:val="0"/>
          <w:color w:val="auto"/>
        </w:rPr>
      </w:pPr>
      <w:r>
        <w:rPr>
          <w:rStyle w:val="9"/>
          <w:b w:val="0"/>
          <w:bCs w:val="0"/>
          <w:color w:val="auto"/>
        </w:rPr>
        <w:t>Journal of Virology</w:t>
      </w:r>
      <w:r>
        <w:rPr>
          <w:b w:val="0"/>
          <w:bCs w:val="0"/>
          <w:color w:val="auto"/>
        </w:rPr>
        <w:t>，ISSN：0022-538X</w:t>
      </w:r>
    </w:p>
    <w:p w14:paraId="7C540BFB">
      <w:pPr>
        <w:pStyle w:val="5"/>
        <w:numPr>
          <w:ilvl w:val="0"/>
          <w:numId w:val="2"/>
        </w:numPr>
        <w:spacing w:before="0" w:beforeAutospacing="0" w:after="0" w:afterAutospacing="0" w:line="360" w:lineRule="auto"/>
        <w:ind w:left="0" w:leftChars="0" w:firstLine="0" w:firstLineChars="0"/>
        <w:rPr>
          <w:b w:val="0"/>
          <w:bCs w:val="0"/>
          <w:color w:val="auto"/>
        </w:rPr>
      </w:pPr>
      <w:r>
        <w:rPr>
          <w:rStyle w:val="8"/>
          <w:b w:val="0"/>
          <w:bCs w:val="0"/>
          <w:color w:val="auto"/>
        </w:rPr>
        <w:t>提交文章稿件时，</w:t>
      </w:r>
      <w:r>
        <w:rPr>
          <w:rStyle w:val="8"/>
          <w:rFonts w:hint="eastAsia"/>
          <w:b w:val="0"/>
          <w:bCs w:val="0"/>
          <w:color w:val="auto"/>
          <w:lang w:val="en-US" w:eastAsia="zh-CN"/>
        </w:rPr>
        <w:t>必须填写</w:t>
      </w:r>
      <w:r>
        <w:rPr>
          <w:rFonts w:hint="eastAsia"/>
          <w:b w:val="0"/>
          <w:bCs w:val="0"/>
          <w:color w:val="auto"/>
          <w:lang w:val="en-US" w:eastAsia="zh-CN"/>
        </w:rPr>
        <w:t>中山大学</w:t>
      </w:r>
      <w:r>
        <w:rPr>
          <w:b w:val="0"/>
          <w:bCs w:val="0"/>
          <w:color w:val="auto"/>
        </w:rPr>
        <w:t>（</w:t>
      </w:r>
      <w:r>
        <w:rPr>
          <w:rFonts w:hint="eastAsia"/>
          <w:b w:val="0"/>
          <w:bCs w:val="0"/>
          <w:color w:val="auto"/>
        </w:rPr>
        <w:t>Sun Yat-sen University</w:t>
      </w:r>
      <w:r>
        <w:rPr>
          <w:b w:val="0"/>
          <w:bCs w:val="0"/>
          <w:color w:val="auto"/>
        </w:rPr>
        <w:t>）作为</w:t>
      </w:r>
      <w:r>
        <w:rPr>
          <w:rFonts w:hint="eastAsia"/>
          <w:b w:val="0"/>
          <w:bCs w:val="0"/>
          <w:color w:val="auto"/>
          <w:lang w:val="en-US" w:eastAsia="zh-CN"/>
        </w:rPr>
        <w:t>作者</w:t>
      </w:r>
      <w:r>
        <w:rPr>
          <w:b w:val="0"/>
          <w:bCs w:val="0"/>
          <w:color w:val="auto"/>
        </w:rPr>
        <w:t>所属机构（Organization）</w:t>
      </w:r>
      <w:r>
        <w:rPr>
          <w:rFonts w:hint="eastAsia"/>
          <w:b w:val="0"/>
          <w:bCs w:val="0"/>
          <w:color w:val="auto"/>
          <w:lang w:eastAsia="zh-CN"/>
        </w:rPr>
        <w:t>。</w:t>
      </w:r>
    </w:p>
    <w:p w14:paraId="7151E228">
      <w:pPr>
        <w:pStyle w:val="5"/>
        <w:numPr>
          <w:ilvl w:val="0"/>
          <w:numId w:val="2"/>
        </w:numPr>
        <w:spacing w:before="0" w:beforeAutospacing="0" w:after="0" w:afterAutospacing="0" w:line="360" w:lineRule="auto"/>
        <w:ind w:left="0" w:leftChars="0" w:firstLine="0" w:firstLineChars="0"/>
        <w:rPr>
          <w:b w:val="0"/>
          <w:bCs w:val="0"/>
          <w:color w:val="auto"/>
        </w:rPr>
      </w:pPr>
      <w:r>
        <w:rPr>
          <w:b w:val="0"/>
          <w:bCs w:val="0"/>
          <w:color w:val="auto"/>
        </w:rPr>
        <w:t>确保文章的Version of Record (VoR)版本发表日期在2026年12月31日前。</w:t>
      </w:r>
    </w:p>
    <w:p w14:paraId="49CC9158">
      <w:pPr>
        <w:pStyle w:val="5"/>
        <w:spacing w:before="0" w:beforeAutospacing="0" w:after="0" w:afterAutospacing="0" w:line="360" w:lineRule="auto"/>
        <w:rPr>
          <w:rStyle w:val="8"/>
          <w:rFonts w:hint="eastAsia"/>
          <w:b w:val="0"/>
          <w:bCs w:val="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3DD04"/>
    <w:multiLevelType w:val="singleLevel"/>
    <w:tmpl w:val="CB33DD04"/>
    <w:lvl w:ilvl="0" w:tentative="0">
      <w:start w:val="1"/>
      <w:numFmt w:val="decimal"/>
      <w:suff w:val="nothing"/>
      <w:lvlText w:val="%1）"/>
      <w:lvlJc w:val="left"/>
    </w:lvl>
  </w:abstractNum>
  <w:abstractNum w:abstractNumId="1">
    <w:nsid w:val="0634381B"/>
    <w:multiLevelType w:val="multilevel"/>
    <w:tmpl w:val="0634381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1486A48"/>
    <w:multiLevelType w:val="singleLevel"/>
    <w:tmpl w:val="31486A48"/>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09"/>
    <w:rsid w:val="00055E74"/>
    <w:rsid w:val="000916A3"/>
    <w:rsid w:val="000A2B5A"/>
    <w:rsid w:val="00176A09"/>
    <w:rsid w:val="001F7652"/>
    <w:rsid w:val="002F20C0"/>
    <w:rsid w:val="005D1205"/>
    <w:rsid w:val="007B51F7"/>
    <w:rsid w:val="00910D21"/>
    <w:rsid w:val="009205DA"/>
    <w:rsid w:val="00A321D7"/>
    <w:rsid w:val="00B826BD"/>
    <w:rsid w:val="00C85E3A"/>
    <w:rsid w:val="00DA4EFB"/>
    <w:rsid w:val="00E5763A"/>
    <w:rsid w:val="00F93006"/>
    <w:rsid w:val="07CD5876"/>
    <w:rsid w:val="1D6848BB"/>
    <w:rsid w:val="3C2F4239"/>
    <w:rsid w:val="3D9C601E"/>
    <w:rsid w:val="5449659A"/>
    <w:rsid w:val="588A4EC7"/>
    <w:rsid w:val="5D99089C"/>
    <w:rsid w:val="6D8A12B0"/>
    <w:rsid w:val="70DA1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semiHidden/>
    <w:unhideWhenUsed/>
    <w:qFormat/>
    <w:uiPriority w:val="99"/>
    <w:rPr>
      <w:color w:val="0000FF"/>
      <w:u w:val="single"/>
    </w:rPr>
  </w:style>
  <w:style w:type="paragraph" w:customStyle="1" w:styleId="11">
    <w:name w:val="Decimal Aligned"/>
    <w:basedOn w:val="1"/>
    <w:qFormat/>
    <w:uiPriority w:val="40"/>
    <w:pPr>
      <w:widowControl/>
      <w:tabs>
        <w:tab w:val="decimal" w:pos="360"/>
      </w:tabs>
      <w:spacing w:after="200" w:line="276" w:lineRule="auto"/>
      <w:jc w:val="left"/>
    </w:pPr>
    <w:rPr>
      <w:rFonts w:cs="Times New Roman"/>
      <w:kern w:val="0"/>
      <w:sz w:val="22"/>
    </w:rPr>
  </w:style>
  <w:style w:type="character" w:customStyle="1" w:styleId="12">
    <w:name w:val="Subtle Emphasis"/>
    <w:basedOn w:val="7"/>
    <w:qFormat/>
    <w:uiPriority w:val="19"/>
    <w:rPr>
      <w:i/>
      <w:iCs/>
    </w:rPr>
  </w:style>
  <w:style w:type="character" w:customStyle="1" w:styleId="13">
    <w:name w:val="页眉 字符"/>
    <w:basedOn w:val="7"/>
    <w:link w:val="4"/>
    <w:qFormat/>
    <w:uiPriority w:val="99"/>
    <w:rPr>
      <w:sz w:val="18"/>
      <w:szCs w:val="18"/>
    </w:rPr>
  </w:style>
  <w:style w:type="character" w:customStyle="1" w:styleId="14">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474</Words>
  <Characters>822</Characters>
  <Lines>8</Lines>
  <Paragraphs>2</Paragraphs>
  <TotalTime>8</TotalTime>
  <ScaleCrop>false</ScaleCrop>
  <LinksUpToDate>false</LinksUpToDate>
  <CharactersWithSpaces>852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2026-01-07T02:47:00Z</dcterms:created>
  <dc:creator>DELL</dc:creator>
  <cp:lastModifiedBy>张丽</cp:lastModifiedBy>
  <dcterms:modified xsi:type="dcterms:W3CDTF">2026-04-14T02:06:08Z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eyJoZGlkIjoiZjE4MTk5NzQ4MTA2MTEwODI3YzhlYTJmNTQ1MmM0MjUiLCJ1c2VySWQiOiIxNjQ5MjQwMDYyIn0=</vt:lpwstr>
  </property>
  <property fmtid="{D5CDD505-2E9C-101B-9397-08002B2CF9AE}" pid="3" name="KSOProductBuildVer">
    <vt:lpwstr>2052-12.1.0.25222</vt:lpwstr>
  </property>
  <property fmtid="{D5CDD505-2E9C-101B-9397-08002B2CF9AE}" pid="4" name="ICV">
    <vt:lpwstr>02A8D7B807444C4095F4F7BE040F0571_13</vt:lpwstr>
  </property>
</Properties>
</file>